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3"/>
        <w:rPr>
          <w:rFonts w:hint="eastAsia" w:ascii="宋体" w:hAnsi="宋体" w:cs="宋体"/>
          <w:color w:val="000000"/>
        </w:rPr>
      </w:pPr>
      <w:bookmarkStart w:id="0" w:name="_Toc160007335"/>
      <w:bookmarkStart w:id="1" w:name="_Toc15488"/>
      <w:bookmarkStart w:id="2" w:name="_Hlk159570609"/>
      <w:bookmarkStart w:id="3" w:name="_Hlk181779216"/>
      <w:r>
        <w:rPr>
          <w:rFonts w:hint="eastAsia" w:ascii="宋体" w:hAnsi="宋体" w:cs="宋体"/>
          <w:color w:val="000000"/>
        </w:rPr>
        <w:t>采购需求</w:t>
      </w:r>
      <w:bookmarkEnd w:id="0"/>
      <w:bookmarkEnd w:id="1"/>
      <w:bookmarkEnd w:id="2"/>
    </w:p>
    <w:p>
      <w:pPr>
        <w:widowControl/>
        <w:shd w:val="clear" w:color="auto" w:fill="FFFFFF"/>
        <w:spacing w:line="360" w:lineRule="auto"/>
        <w:ind w:firstLine="422" w:firstLineChars="200"/>
        <w:rPr>
          <w:rFonts w:hint="default"/>
          <w:b/>
          <w:bCs/>
          <w:szCs w:val="20"/>
          <w:lang w:val="en-US" w:eastAsia="zh-CN"/>
        </w:rPr>
      </w:pPr>
      <w:bookmarkStart w:id="4" w:name="_Toc7241"/>
      <w:bookmarkStart w:id="5" w:name="_Toc54939199"/>
      <w:r>
        <w:rPr>
          <w:rFonts w:hint="eastAsia" w:ascii="宋体" w:hAnsi="宋体" w:cs="宋体"/>
          <w:b/>
          <w:bCs/>
        </w:rPr>
        <w:t>一、</w:t>
      </w:r>
      <w:r>
        <w:rPr>
          <w:rFonts w:hint="eastAsia"/>
          <w:b/>
          <w:bCs/>
          <w:szCs w:val="20"/>
          <w:lang w:val="en-US" w:eastAsia="zh-CN"/>
        </w:rPr>
        <w:t>需求清单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eastAsia="宋体" w:cs="宋体"/>
          <w:b/>
          <w:bCs/>
          <w:szCs w:val="21"/>
          <w:highlight w:val="none"/>
        </w:rPr>
      </w:pPr>
      <w:r>
        <w:rPr>
          <w:rFonts w:hint="eastAsia" w:ascii="宋体" w:hAnsi="宋体" w:cs="宋体"/>
          <w:szCs w:val="21"/>
          <w:lang w:val="en-US" w:eastAsia="zh-CN"/>
        </w:rPr>
        <w:t>详见附件《2026图文与院办征订清单》</w:t>
      </w:r>
      <w:r>
        <w:rPr>
          <w:rFonts w:hint="eastAsia" w:ascii="宋体" w:hAnsi="宋体" w:eastAsia="宋体" w:cs="宋体"/>
          <w:b/>
          <w:bCs/>
          <w:szCs w:val="21"/>
          <w:highlight w:val="none"/>
        </w:rPr>
        <w:t>。</w:t>
      </w:r>
    </w:p>
    <w:p>
      <w:pPr>
        <w:widowControl/>
        <w:numPr>
          <w:ilvl w:val="0"/>
          <w:numId w:val="1"/>
        </w:numPr>
        <w:shd w:val="clear" w:color="auto" w:fill="FFFFFF"/>
        <w:spacing w:line="360" w:lineRule="auto"/>
        <w:ind w:firstLine="422" w:firstLineChars="200"/>
        <w:rPr>
          <w:rFonts w:hint="eastAsia" w:ascii="宋体" w:hAnsi="宋体" w:cs="宋体"/>
          <w:b/>
          <w:bCs/>
          <w:lang w:val="en-US" w:eastAsia="zh-CN"/>
        </w:rPr>
      </w:pPr>
      <w:r>
        <w:rPr>
          <w:rFonts w:hint="eastAsia" w:ascii="宋体" w:hAnsi="宋体" w:cs="宋体"/>
          <w:b/>
          <w:bCs/>
          <w:lang w:val="en-US" w:eastAsia="zh-CN"/>
        </w:rPr>
        <w:t>采购需求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420" w:firstLineChars="200"/>
        <w:rPr>
          <w:rFonts w:hint="default" w:ascii="宋体" w:hAnsi="宋体" w:cs="宋体"/>
          <w:b w:val="0"/>
          <w:bCs w:val="0"/>
          <w:lang w:val="en-US" w:eastAsia="zh-CN"/>
        </w:rPr>
      </w:pPr>
      <w:r>
        <w:rPr>
          <w:rFonts w:hint="default" w:ascii="宋体" w:hAnsi="宋体" w:cs="宋体"/>
          <w:b w:val="0"/>
          <w:bCs w:val="0"/>
          <w:lang w:val="en-US" w:eastAsia="zh-CN"/>
        </w:rPr>
        <w:t>1.响应人需具备期刊征订、配送、补缺等全程服务的能力。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420" w:firstLineChars="200"/>
        <w:rPr>
          <w:rFonts w:hint="default" w:ascii="宋体" w:hAnsi="宋体" w:cs="宋体"/>
          <w:b w:val="0"/>
          <w:bCs w:val="0"/>
          <w:lang w:val="en-US" w:eastAsia="zh-CN"/>
        </w:rPr>
      </w:pPr>
      <w:r>
        <w:rPr>
          <w:rFonts w:hint="default" w:ascii="宋体" w:hAnsi="宋体" w:cs="宋体"/>
          <w:b w:val="0"/>
          <w:bCs w:val="0"/>
          <w:lang w:val="en-US" w:eastAsia="zh-CN"/>
        </w:rPr>
        <w:t>2．响应人按学院提供的期刊目录征订期刊，按要求在订刊期限内发出订单，并提供订单的电子版。</w:t>
      </w:r>
      <w:bookmarkStart w:id="7" w:name="_GoBack"/>
      <w:bookmarkEnd w:id="7"/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420" w:firstLineChars="200"/>
        <w:rPr>
          <w:rFonts w:hint="default" w:ascii="宋体" w:hAnsi="宋体" w:cs="宋体"/>
          <w:b w:val="0"/>
          <w:bCs w:val="0"/>
          <w:lang w:val="en-US" w:eastAsia="zh-CN"/>
        </w:rPr>
      </w:pPr>
      <w:r>
        <w:rPr>
          <w:rFonts w:hint="default" w:ascii="宋体" w:hAnsi="宋体" w:cs="宋体"/>
          <w:b w:val="0"/>
          <w:bCs w:val="0"/>
          <w:lang w:val="en-US" w:eastAsia="zh-CN"/>
        </w:rPr>
        <w:t>3．所有期刊应按照学校确定的地点和日程准时免费送刊，除假期外每周送刊一次，送刊时提供送刊清单，标明所送刊名称、数量和期次，发货清单应与实际到刊相符。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420" w:firstLineChars="200"/>
        <w:rPr>
          <w:rFonts w:hint="default" w:ascii="宋体" w:hAnsi="宋体" w:cs="宋体"/>
          <w:b w:val="0"/>
          <w:bCs w:val="0"/>
          <w:lang w:val="en-US" w:eastAsia="zh-CN"/>
        </w:rPr>
      </w:pPr>
      <w:r>
        <w:rPr>
          <w:rFonts w:hint="default" w:ascii="宋体" w:hAnsi="宋体" w:cs="宋体"/>
          <w:b w:val="0"/>
          <w:bCs w:val="0"/>
          <w:lang w:val="en-US" w:eastAsia="zh-CN"/>
        </w:rPr>
        <w:t>4．</w:t>
      </w:r>
      <w:r>
        <w:rPr>
          <w:rFonts w:hint="eastAsia" w:ascii="宋体" w:hAnsi="宋体" w:cs="宋体"/>
          <w:b w:val="0"/>
          <w:bCs w:val="0"/>
          <w:lang w:val="en-US" w:eastAsia="zh-CN"/>
        </w:rPr>
        <w:t>成交人</w:t>
      </w:r>
      <w:r>
        <w:rPr>
          <w:rFonts w:hint="default" w:ascii="宋体" w:hAnsi="宋体" w:cs="宋体"/>
          <w:b w:val="0"/>
          <w:bCs w:val="0"/>
          <w:lang w:val="en-US" w:eastAsia="zh-CN"/>
        </w:rPr>
        <w:t>应保证所订期刊的完整性，不得缺损，不得扣押和遗漏随刊的赠刊及附件。</w:t>
      </w:r>
    </w:p>
    <w:p>
      <w:pPr>
        <w:widowControl/>
        <w:numPr>
          <w:ilvl w:val="0"/>
          <w:numId w:val="0"/>
        </w:numPr>
        <w:shd w:val="clear" w:color="auto" w:fill="FFFFFF"/>
        <w:spacing w:line="360" w:lineRule="auto"/>
        <w:ind w:firstLine="420" w:firstLineChars="200"/>
        <w:rPr>
          <w:rFonts w:hint="default" w:ascii="宋体" w:hAnsi="宋体" w:cs="宋体"/>
          <w:b w:val="0"/>
          <w:bCs w:val="0"/>
          <w:highlight w:val="none"/>
          <w:lang w:val="en-US" w:eastAsia="zh-CN"/>
        </w:rPr>
      </w:pPr>
      <w:r>
        <w:rPr>
          <w:rFonts w:hint="default" w:ascii="宋体" w:hAnsi="宋体" w:cs="宋体"/>
          <w:b w:val="0"/>
          <w:bCs w:val="0"/>
          <w:lang w:val="en-US" w:eastAsia="zh-CN"/>
        </w:rPr>
        <w:t>5．学校在收到成交方订单一周内发回确认通知，成交方保证已确认期刊的订到</w:t>
      </w:r>
      <w:r>
        <w:rPr>
          <w:rFonts w:hint="default" w:ascii="宋体" w:hAnsi="宋体" w:cs="宋体"/>
          <w:b w:val="0"/>
          <w:bCs w:val="0"/>
          <w:highlight w:val="none"/>
          <w:lang w:val="en-US" w:eastAsia="zh-CN"/>
        </w:rPr>
        <w:t>率为100%；如因期刊出版方原因而不能提供某种期刊或某些卷期，应及时书面通知学院协商解决。</w:t>
      </w:r>
    </w:p>
    <w:p>
      <w:pPr>
        <w:widowControl/>
        <w:shd w:val="clear" w:color="auto" w:fill="FFFFFF"/>
        <w:spacing w:line="360" w:lineRule="auto"/>
        <w:ind w:firstLine="422" w:firstLineChars="200"/>
        <w:rPr>
          <w:rFonts w:hint="default" w:ascii="宋体" w:hAnsi="宋体" w:eastAsia="宋体" w:cs="宋体"/>
          <w:b/>
          <w:bCs/>
          <w:highlight w:val="none"/>
          <w:lang w:val="en-US"/>
        </w:rPr>
      </w:pPr>
      <w:r>
        <w:rPr>
          <w:rFonts w:hint="eastAsia" w:ascii="宋体" w:hAnsi="宋体" w:cs="宋体"/>
          <w:b/>
          <w:szCs w:val="21"/>
          <w:highlight w:val="none"/>
          <w:lang w:val="en-US" w:eastAsia="zh-CN"/>
        </w:rPr>
        <w:t>三、合同履行期限：</w:t>
      </w:r>
      <w:r>
        <w:rPr>
          <w:rFonts w:hint="eastAsia" w:ascii="宋体" w:hAnsi="宋体" w:cs="宋体"/>
          <w:b w:val="0"/>
          <w:bCs/>
          <w:szCs w:val="21"/>
          <w:highlight w:val="none"/>
          <w:lang w:val="en-US" w:eastAsia="zh-CN"/>
        </w:rPr>
        <w:t>一年。</w:t>
      </w:r>
    </w:p>
    <w:p>
      <w:pPr>
        <w:widowControl/>
        <w:shd w:val="clear" w:color="auto" w:fill="FFFFFF"/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highlight w:val="none"/>
        </w:rPr>
      </w:pPr>
      <w:r>
        <w:rPr>
          <w:rFonts w:hint="eastAsia" w:ascii="宋体" w:hAnsi="宋体" w:cs="宋体"/>
          <w:b/>
          <w:bCs/>
          <w:highlight w:val="none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highlight w:val="none"/>
        </w:rPr>
        <w:t>、报价要求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cs="宋体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本项目按总价报价，</w:t>
      </w:r>
      <w:r>
        <w:rPr>
          <w:rFonts w:hint="eastAsia" w:cs="宋体" w:asciiTheme="majorEastAsia" w:hAnsiTheme="majorEastAsia" w:eastAsiaTheme="major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报价应</w:t>
      </w:r>
      <w:r>
        <w:rPr>
          <w:rFonts w:hint="eastAsia" w:ascii="宋体" w:hAnsi="宋体" w:cs="宋体"/>
          <w:color w:val="000000" w:themeColor="text1"/>
          <w:kern w:val="0"/>
          <w:szCs w:val="21"/>
          <w:highlight w:val="none"/>
          <w14:textFill>
            <w14:solidFill>
              <w14:schemeClr w14:val="tx1"/>
            </w14:solidFill>
          </w14:textFill>
        </w:rPr>
        <w:t>包含但不限于刊款</w:t>
      </w:r>
      <w:r>
        <w:rPr>
          <w:rFonts w:hint="eastAsia" w:ascii="宋体" w:hAnsi="宋体" w:cs="宋体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szCs w:val="21"/>
          <w:highlight w:val="none"/>
          <w:lang w:val="en-US" w:eastAsia="zh-CN"/>
        </w:rPr>
        <w:t>人工、</w:t>
      </w:r>
      <w:r>
        <w:rPr>
          <w:rFonts w:hint="eastAsia" w:ascii="宋体" w:hAnsi="宋体" w:cs="宋体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配送</w:t>
      </w:r>
      <w:r>
        <w:rPr>
          <w:rFonts w:hint="eastAsia" w:ascii="宋体" w:hAnsi="宋体" w:cs="宋体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增值服务费、</w:t>
      </w:r>
      <w:r>
        <w:rPr>
          <w:rFonts w:hint="eastAsia" w:ascii="宋体" w:hAnsi="宋体" w:cs="宋体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税金</w:t>
      </w:r>
      <w:r>
        <w:rPr>
          <w:rFonts w:hint="eastAsia" w:ascii="宋体" w:hAnsi="宋体" w:cs="宋体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宋体" w:hAnsi="宋体" w:cs="宋体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以及为完成本项目所必须的其他辅助工作的相关费用等所有费用。谈判响应人应充应结合采购需求及自身情况合理报价，一旦成交，采购人不再另行支付与本项目相关的任何费用，谈判响应人进行报价时应综合考虑。</w:t>
      </w:r>
    </w:p>
    <w:p>
      <w:pPr>
        <w:widowControl/>
        <w:shd w:val="clear" w:color="auto" w:fill="FFFFFF"/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highlight w:val="none"/>
          <w:lang w:val="en-US" w:eastAsia="zh-CN"/>
        </w:rPr>
        <w:t>五、付款方式</w:t>
      </w:r>
    </w:p>
    <w:bookmarkEnd w:id="3"/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cs="宋体" w:asciiTheme="majorEastAsia" w:hAnsiTheme="majorEastAsia" w:eastAsiaTheme="major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6" w:name="_Toc160007336"/>
      <w:r>
        <w:rPr>
          <w:rFonts w:hint="eastAsia" w:cs="宋体" w:asciiTheme="majorEastAsia" w:hAnsiTheme="majorEastAsia" w:eastAsiaTheme="major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1.签订合同，成交方开具发票后，一次付清全款。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cs="宋体" w:asciiTheme="majorEastAsia" w:hAnsiTheme="majorEastAsia" w:eastAsiaTheme="majorEastAsia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ajorEastAsia" w:hAnsiTheme="majorEastAsia" w:eastAsiaTheme="majorEastAsia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2.服务期内，如有停刊、退刊或补刊等事项，依据响应报价下浮率多退少补的原则，于2026年12月10日前据实交接。</w:t>
      </w:r>
      <w:bookmarkEnd w:id="4"/>
      <w:bookmarkEnd w:id="5"/>
      <w:bookmarkEnd w:id="6"/>
    </w:p>
    <w:sectPr>
      <w:footerReference r:id="rId3" w:type="default"/>
      <w:pgSz w:w="11906" w:h="16838"/>
      <w:pgMar w:top="1417" w:right="1418" w:bottom="1417" w:left="1418" w:header="680" w:footer="68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pBdr>
        <w:top w:val="single" w:color="auto" w:sz="4" w:space="1"/>
      </w:pBdr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66C0D4"/>
    <w:multiLevelType w:val="singleLevel"/>
    <w:tmpl w:val="A966C0D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D0468-5CA6-4B8B-9007-E5C81D90A5EF}">
  <ds:schemaRefs/>
</ds:datastoreItem>
</file>